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A08430">
      <w:pPr>
        <w:spacing w:before="480" w:after="480" w:line="288" w:lineRule="auto"/>
        <w:jc w:val="center"/>
      </w:pPr>
      <w:r>
        <w:rPr>
          <w:rFonts w:hint="eastAsia" w:ascii="Arial" w:hAnsi="Arial" w:eastAsia="等线" w:cs="Arial"/>
          <w:b/>
          <w:sz w:val="52"/>
        </w:rPr>
        <w:t>组件厂</w:t>
      </w:r>
      <w:r>
        <w:rPr>
          <w:rFonts w:ascii="Arial" w:hAnsi="Arial" w:eastAsia="等线" w:cs="Arial"/>
          <w:b/>
          <w:sz w:val="52"/>
        </w:rPr>
        <w:t>CDA管道工程技术</w:t>
      </w:r>
      <w:r>
        <w:rPr>
          <w:rFonts w:hint="eastAsia" w:ascii="Arial" w:hAnsi="Arial" w:eastAsia="等线" w:cs="Arial"/>
          <w:b/>
          <w:sz w:val="52"/>
        </w:rPr>
        <w:t>需求</w:t>
      </w:r>
      <w:r>
        <w:rPr>
          <w:rFonts w:ascii="Arial" w:hAnsi="Arial" w:eastAsia="等线" w:cs="Arial"/>
          <w:b/>
          <w:sz w:val="52"/>
        </w:rPr>
        <w:t>书</w:t>
      </w:r>
    </w:p>
    <w:p w14:paraId="33C64470">
      <w:pPr>
        <w:spacing w:before="380" w:after="140" w:line="288" w:lineRule="auto"/>
        <w:jc w:val="left"/>
        <w:outlineLvl w:val="0"/>
      </w:pPr>
      <w:bookmarkStart w:id="0" w:name="heading_0"/>
      <w:r>
        <w:rPr>
          <w:rFonts w:ascii="Arial" w:hAnsi="Arial" w:eastAsia="等线" w:cs="Arial"/>
          <w:b/>
          <w:sz w:val="36"/>
        </w:rPr>
        <w:t>1. 项目概况</w:t>
      </w:r>
      <w:bookmarkEnd w:id="0"/>
    </w:p>
    <w:p w14:paraId="0A40789D">
      <w:pPr>
        <w:spacing w:before="320" w:after="120" w:line="288" w:lineRule="auto"/>
        <w:jc w:val="left"/>
        <w:outlineLvl w:val="1"/>
      </w:pPr>
      <w:bookmarkStart w:id="1" w:name="heading_1"/>
      <w:r>
        <w:rPr>
          <w:rFonts w:ascii="Arial" w:hAnsi="Arial" w:eastAsia="等线" w:cs="Arial"/>
          <w:b/>
          <w:sz w:val="32"/>
        </w:rPr>
        <w:t>1.1 工程名称</w:t>
      </w:r>
      <w:bookmarkEnd w:id="1"/>
    </w:p>
    <w:p w14:paraId="486CBDFD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电池厂至组件厂CDA洁净压缩空气输送管道新建工程。</w:t>
      </w:r>
    </w:p>
    <w:p w14:paraId="26A01C47">
      <w:pPr>
        <w:spacing w:before="320" w:after="120" w:line="288" w:lineRule="auto"/>
        <w:jc w:val="left"/>
        <w:outlineLvl w:val="1"/>
      </w:pPr>
      <w:bookmarkStart w:id="2" w:name="heading_2"/>
      <w:r>
        <w:rPr>
          <w:rFonts w:ascii="Arial" w:hAnsi="Arial" w:eastAsia="等线" w:cs="Arial"/>
          <w:b/>
          <w:sz w:val="32"/>
        </w:rPr>
        <w:t>1.2 工程地点</w:t>
      </w:r>
      <w:bookmarkEnd w:id="2"/>
    </w:p>
    <w:p w14:paraId="043A111A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厂区内部，起点为电池厂U1动力站西侧管廊现有CDA主管，终点为组件厂CDA系统进气接口。</w:t>
      </w:r>
    </w:p>
    <w:p w14:paraId="2AC85C22">
      <w:pPr>
        <w:spacing w:before="320" w:after="120" w:line="288" w:lineRule="auto"/>
        <w:jc w:val="left"/>
        <w:outlineLvl w:val="1"/>
      </w:pPr>
      <w:bookmarkStart w:id="3" w:name="heading_3"/>
      <w:r>
        <w:rPr>
          <w:rFonts w:ascii="Arial" w:hAnsi="Arial" w:eastAsia="等线" w:cs="Arial"/>
          <w:b/>
          <w:sz w:val="32"/>
        </w:rPr>
        <w:t>1.3 工程范围</w:t>
      </w:r>
      <w:bookmarkEnd w:id="3"/>
    </w:p>
    <w:p w14:paraId="6C65C79E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本工程</w:t>
      </w:r>
      <w:r>
        <w:rPr>
          <w:rFonts w:hint="eastAsia" w:ascii="Arial" w:hAnsi="Arial" w:eastAsia="等线" w:cs="Arial"/>
          <w:sz w:val="22"/>
        </w:rPr>
        <w:t>水平距离</w:t>
      </w:r>
      <w:r>
        <w:rPr>
          <w:rFonts w:ascii="Arial" w:hAnsi="Arial" w:eastAsia="等线" w:cs="Arial"/>
          <w:sz w:val="22"/>
        </w:rPr>
        <w:t>总长</w:t>
      </w:r>
      <w:r>
        <w:rPr>
          <w:rFonts w:hint="eastAsia" w:ascii="Arial" w:hAnsi="Arial" w:eastAsia="等线" w:cs="Arial"/>
          <w:sz w:val="22"/>
        </w:rPr>
        <w:t>约</w:t>
      </w:r>
      <w:r>
        <w:rPr>
          <w:rFonts w:ascii="Arial" w:hAnsi="Arial" w:eastAsia="等线" w:cs="Arial"/>
          <w:sz w:val="22"/>
        </w:rPr>
        <w:t>878m，全程采用地下水平定向钻孔施工，不大面积开挖；其中包含公路穿越段50m。工程包含管道采购、运输、钻孔施工、管道敷设、阀门安装、焊接、防腐、试压、吹扫、验收、资料移交等全部工作内容。</w:t>
      </w:r>
    </w:p>
    <w:p w14:paraId="40FE428E">
      <w:pPr>
        <w:spacing w:before="320" w:after="120" w:line="288" w:lineRule="auto"/>
        <w:jc w:val="left"/>
        <w:outlineLvl w:val="1"/>
      </w:pPr>
      <w:bookmarkStart w:id="4" w:name="heading_4"/>
      <w:r>
        <w:rPr>
          <w:rFonts w:ascii="Arial" w:hAnsi="Arial" w:eastAsia="等线" w:cs="Arial"/>
          <w:b/>
          <w:sz w:val="32"/>
        </w:rPr>
        <w:t>1.4 工况参数</w:t>
      </w:r>
      <w:bookmarkEnd w:id="4"/>
    </w:p>
    <w:p w14:paraId="1ADD75F4">
      <w:pPr>
        <w:numPr>
          <w:ilvl w:val="0"/>
          <w:numId w:val="1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输送介质：洁净压缩空气（CDA）</w:t>
      </w:r>
    </w:p>
    <w:p w14:paraId="2E057E81">
      <w:pPr>
        <w:numPr>
          <w:ilvl w:val="0"/>
          <w:numId w:val="2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起始供气压力：7.8bar</w:t>
      </w:r>
    </w:p>
    <w:p w14:paraId="20DE1954">
      <w:pPr>
        <w:numPr>
          <w:ilvl w:val="0"/>
          <w:numId w:val="3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末端供气压力：≥7.0bar</w:t>
      </w:r>
    </w:p>
    <w:p w14:paraId="7D93B1B0">
      <w:pPr>
        <w:numPr>
          <w:ilvl w:val="0"/>
          <w:numId w:val="4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最大用气流量：30m³/min</w:t>
      </w:r>
    </w:p>
    <w:p w14:paraId="5E1FDB4D">
      <w:pPr>
        <w:numPr>
          <w:ilvl w:val="0"/>
          <w:numId w:val="5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管道设计压力：≥1.0MPa</w:t>
      </w:r>
    </w:p>
    <w:p w14:paraId="4079C7CE">
      <w:pPr>
        <w:numPr>
          <w:ilvl w:val="0"/>
          <w:numId w:val="6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敷设方式：全程地下钻孔敷设，埋深≥1.2m</w:t>
      </w:r>
    </w:p>
    <w:p w14:paraId="5A81B8E5">
      <w:pPr>
        <w:spacing w:before="380" w:after="140" w:line="288" w:lineRule="auto"/>
        <w:jc w:val="left"/>
        <w:outlineLvl w:val="0"/>
      </w:pPr>
      <w:bookmarkStart w:id="5" w:name="heading_5"/>
      <w:r>
        <w:rPr>
          <w:rFonts w:ascii="Arial" w:hAnsi="Arial" w:eastAsia="等线" w:cs="Arial"/>
          <w:b/>
          <w:sz w:val="36"/>
        </w:rPr>
        <w:t>2. 设计依据及执行规范</w:t>
      </w:r>
      <w:bookmarkEnd w:id="5"/>
    </w:p>
    <w:p w14:paraId="24BE2EE4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本项目所有材料、施工、验收必须严格执行国家及行业现行规范：</w:t>
      </w:r>
    </w:p>
    <w:p w14:paraId="3746CDC2">
      <w:pPr>
        <w:numPr>
          <w:ilvl w:val="0"/>
          <w:numId w:val="7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《压力管道安全技术监察规程》</w:t>
      </w:r>
    </w:p>
    <w:p w14:paraId="1B06FD89">
      <w:pPr>
        <w:numPr>
          <w:ilvl w:val="0"/>
          <w:numId w:val="8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GB 50235-2010《工业金属管道工程施工规范》</w:t>
      </w:r>
    </w:p>
    <w:p w14:paraId="4352261D">
      <w:pPr>
        <w:numPr>
          <w:ilvl w:val="0"/>
          <w:numId w:val="9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GB 50236-2011《现场设备、工业管道焊接工程施工规范》</w:t>
      </w:r>
    </w:p>
    <w:p w14:paraId="3F69E15A">
      <w:pPr>
        <w:numPr>
          <w:ilvl w:val="0"/>
          <w:numId w:val="10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GB/T 14976《流体输送用不锈钢无缝钢管》</w:t>
      </w:r>
    </w:p>
    <w:p w14:paraId="4CE83448">
      <w:pPr>
        <w:numPr>
          <w:ilvl w:val="0"/>
          <w:numId w:val="11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CJJ/T 243-2016《水平定向钻管道穿越工程技术规范》</w:t>
      </w:r>
    </w:p>
    <w:p w14:paraId="56887745">
      <w:pPr>
        <w:spacing w:before="380" w:after="140" w:line="288" w:lineRule="auto"/>
        <w:jc w:val="left"/>
        <w:outlineLvl w:val="0"/>
      </w:pPr>
      <w:bookmarkStart w:id="6" w:name="heading_6"/>
      <w:r>
        <w:rPr>
          <w:rFonts w:ascii="Arial" w:hAnsi="Arial" w:eastAsia="等线" w:cs="Arial"/>
          <w:b/>
          <w:sz w:val="36"/>
        </w:rPr>
        <w:t>3. 主要材料技术要求</w:t>
      </w:r>
      <w:bookmarkEnd w:id="6"/>
    </w:p>
    <w:p w14:paraId="47E44FEF">
      <w:pPr>
        <w:spacing w:before="320" w:after="120" w:line="288" w:lineRule="auto"/>
        <w:jc w:val="left"/>
        <w:outlineLvl w:val="1"/>
      </w:pPr>
      <w:bookmarkStart w:id="7" w:name="heading_7"/>
      <w:r>
        <w:rPr>
          <w:rFonts w:ascii="Arial" w:hAnsi="Arial" w:eastAsia="等线" w:cs="Arial"/>
          <w:b/>
          <w:sz w:val="32"/>
        </w:rPr>
        <w:t>3.1 主管道</w:t>
      </w:r>
      <w:bookmarkEnd w:id="7"/>
    </w:p>
    <w:p w14:paraId="70FA9714">
      <w:pPr>
        <w:numPr>
          <w:ilvl w:val="0"/>
          <w:numId w:val="12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材质：304不锈钢AP精密管，无缝不锈钢管</w:t>
      </w:r>
    </w:p>
    <w:p w14:paraId="607A697C">
      <w:pPr>
        <w:numPr>
          <w:ilvl w:val="0"/>
          <w:numId w:val="13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规格：DN100，壁厚≥4.5mm</w:t>
      </w:r>
    </w:p>
    <w:p w14:paraId="78C96944">
      <w:pPr>
        <w:numPr>
          <w:ilvl w:val="0"/>
          <w:numId w:val="14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表面要求：内外光亮、无裂纹、无起皮、无锈蚀，洁净级管路，满足半导体/光伏行业洁净压缩空气输送标准</w:t>
      </w:r>
    </w:p>
    <w:p w14:paraId="17C8A277">
      <w:pPr>
        <w:spacing w:before="320" w:after="120" w:line="288" w:lineRule="auto"/>
        <w:jc w:val="left"/>
        <w:outlineLvl w:val="1"/>
      </w:pPr>
      <w:bookmarkStart w:id="8" w:name="heading_9"/>
      <w:r>
        <w:rPr>
          <w:rFonts w:ascii="Arial" w:hAnsi="Arial" w:eastAsia="等线" w:cs="Arial"/>
          <w:b/>
          <w:sz w:val="32"/>
        </w:rPr>
        <w:t>3.2 阀门及管件</w:t>
      </w:r>
      <w:bookmarkEnd w:id="8"/>
    </w:p>
    <w:p w14:paraId="66261FC6">
      <w:pPr>
        <w:numPr>
          <w:ilvl w:val="0"/>
          <w:numId w:val="15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所有管件、弯头、三通、接头均采用同材质304不锈钢，材质不得降级。</w:t>
      </w:r>
    </w:p>
    <w:p w14:paraId="249A4E11">
      <w:pPr>
        <w:spacing w:before="320" w:after="120" w:line="288" w:lineRule="auto"/>
        <w:jc w:val="left"/>
        <w:outlineLvl w:val="1"/>
      </w:pPr>
      <w:bookmarkStart w:id="9" w:name="heading_10"/>
      <w:r>
        <w:rPr>
          <w:rFonts w:ascii="Arial" w:hAnsi="Arial" w:eastAsia="等线" w:cs="Arial"/>
          <w:b/>
          <w:sz w:val="32"/>
        </w:rPr>
        <w:t>3.3 辅助材料</w:t>
      </w:r>
      <w:bookmarkEnd w:id="9"/>
    </w:p>
    <w:p w14:paraId="2F03CE12">
      <w:pPr>
        <w:numPr>
          <w:ilvl w:val="0"/>
          <w:numId w:val="16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焊接材料：不锈钢专用氩弧焊焊丝，严禁混用普通碳钢焊条</w:t>
      </w:r>
    </w:p>
    <w:p w14:paraId="5BD28F37">
      <w:pPr>
        <w:numPr>
          <w:ilvl w:val="0"/>
          <w:numId w:val="17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回填材料：洁净级水洗黄砂，无杂质、无硬块，用于套管间隙填充、管道垫层</w:t>
      </w:r>
    </w:p>
    <w:p w14:paraId="7143B902">
      <w:pPr>
        <w:numPr>
          <w:ilvl w:val="0"/>
          <w:numId w:val="18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防腐材料：不锈钢专用防腐涂层、防锈底漆，地下管道必须做双层防腐</w:t>
      </w:r>
    </w:p>
    <w:p w14:paraId="2C7F6FA2">
      <w:pPr>
        <w:spacing w:before="380" w:after="140" w:line="288" w:lineRule="auto"/>
        <w:jc w:val="left"/>
        <w:outlineLvl w:val="0"/>
      </w:pPr>
      <w:bookmarkStart w:id="10" w:name="heading_11"/>
      <w:r>
        <w:rPr>
          <w:rFonts w:ascii="Arial" w:hAnsi="Arial" w:eastAsia="等线" w:cs="Arial"/>
          <w:b/>
          <w:sz w:val="36"/>
        </w:rPr>
        <w:t>4. 施工技术要求</w:t>
      </w:r>
      <w:bookmarkEnd w:id="10"/>
    </w:p>
    <w:p w14:paraId="0B16162E">
      <w:pPr>
        <w:spacing w:before="320" w:after="120" w:line="288" w:lineRule="auto"/>
        <w:jc w:val="left"/>
        <w:outlineLvl w:val="1"/>
      </w:pPr>
      <w:bookmarkStart w:id="11" w:name="heading_12"/>
      <w:r>
        <w:rPr>
          <w:rFonts w:ascii="Arial" w:hAnsi="Arial" w:eastAsia="等线" w:cs="Arial"/>
          <w:b/>
          <w:sz w:val="32"/>
        </w:rPr>
        <w:t>4.1 总体施工方式</w:t>
      </w:r>
      <w:bookmarkEnd w:id="11"/>
    </w:p>
    <w:p w14:paraId="07DBFC55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本工程</w:t>
      </w:r>
      <w:r>
        <w:rPr>
          <w:rFonts w:ascii="Arial" w:hAnsi="Arial" w:eastAsia="等线" w:cs="Arial"/>
          <w:b/>
          <w:sz w:val="22"/>
        </w:rPr>
        <w:t>全程采用水平定向钻孔施工</w:t>
      </w:r>
      <w:r>
        <w:rPr>
          <w:rFonts w:ascii="Arial" w:hAnsi="Arial" w:eastAsia="等线" w:cs="Arial"/>
          <w:sz w:val="22"/>
        </w:rPr>
        <w:t>，禁止大面积开挖；1200m全部地下钻孔敷设，含50m公路穿越段，不得破坏原有道路结构。</w:t>
      </w:r>
    </w:p>
    <w:p w14:paraId="34DB3BD7">
      <w:pPr>
        <w:spacing w:before="320" w:after="120" w:line="288" w:lineRule="auto"/>
        <w:jc w:val="left"/>
        <w:outlineLvl w:val="1"/>
      </w:pPr>
      <w:bookmarkStart w:id="12" w:name="heading_13"/>
      <w:r>
        <w:rPr>
          <w:rFonts w:ascii="Arial" w:hAnsi="Arial" w:eastAsia="等线" w:cs="Arial"/>
          <w:b/>
          <w:sz w:val="32"/>
        </w:rPr>
        <w:t>4.2 钻孔施工要求</w:t>
      </w:r>
      <w:bookmarkEnd w:id="12"/>
    </w:p>
    <w:p w14:paraId="6BD83FEE">
      <w:pPr>
        <w:numPr>
          <w:ilvl w:val="0"/>
          <w:numId w:val="19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钻孔深度：管顶覆土≥1.2m；</w:t>
      </w:r>
    </w:p>
    <w:p w14:paraId="43ACC1DA">
      <w:pPr>
        <w:numPr>
          <w:ilvl w:val="0"/>
          <w:numId w:val="20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钻孔轨迹平直，不得出现硬折、扭曲；</w:t>
      </w:r>
    </w:p>
    <w:p w14:paraId="6A988DC2">
      <w:pPr>
        <w:numPr>
          <w:ilvl w:val="0"/>
          <w:numId w:val="21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公路段施工必须保证路基稳定，不得扰动原有路基结构。</w:t>
      </w:r>
    </w:p>
    <w:p w14:paraId="7C876343">
      <w:pPr>
        <w:numPr>
          <w:ilvl w:val="0"/>
          <w:numId w:val="21"/>
        </w:numPr>
        <w:spacing w:before="120" w:after="120" w:line="288" w:lineRule="auto"/>
        <w:jc w:val="left"/>
      </w:pPr>
      <w:r>
        <w:rPr>
          <w:rFonts w:hint="eastAsia"/>
        </w:rPr>
        <w:t>施工时确认地下设施，如对地下原有设施造成破坏，所有损失由施工方承担。</w:t>
      </w:r>
    </w:p>
    <w:p w14:paraId="5B20A511">
      <w:pPr>
        <w:spacing w:before="320" w:after="120" w:line="288" w:lineRule="auto"/>
        <w:jc w:val="left"/>
        <w:outlineLvl w:val="1"/>
      </w:pPr>
      <w:bookmarkStart w:id="13" w:name="heading_14"/>
      <w:r>
        <w:rPr>
          <w:rFonts w:ascii="Arial" w:hAnsi="Arial" w:eastAsia="等线" w:cs="Arial"/>
          <w:b/>
          <w:sz w:val="32"/>
        </w:rPr>
        <w:t>4.3 管道焊接要求</w:t>
      </w:r>
      <w:bookmarkEnd w:id="13"/>
    </w:p>
    <w:p w14:paraId="1E7CF52E">
      <w:pPr>
        <w:numPr>
          <w:ilvl w:val="0"/>
          <w:numId w:val="22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全部采用氩弧焊焊接，焊口平整、无夹渣、无气孔；</w:t>
      </w:r>
    </w:p>
    <w:p w14:paraId="4781A290">
      <w:pPr>
        <w:numPr>
          <w:ilvl w:val="0"/>
          <w:numId w:val="23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所有焊口必须做无损检测、外观检测；</w:t>
      </w:r>
    </w:p>
    <w:p w14:paraId="1834508E">
      <w:pPr>
        <w:numPr>
          <w:ilvl w:val="0"/>
          <w:numId w:val="24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焊接完成后管道内部无焊渣、无杂质，保证气源洁净。</w:t>
      </w:r>
    </w:p>
    <w:p w14:paraId="7D8A4A03">
      <w:pPr>
        <w:spacing w:before="320" w:after="120" w:line="288" w:lineRule="auto"/>
        <w:jc w:val="left"/>
        <w:outlineLvl w:val="1"/>
      </w:pPr>
      <w:bookmarkStart w:id="14" w:name="heading_15"/>
      <w:r>
        <w:rPr>
          <w:rFonts w:ascii="Arial" w:hAnsi="Arial" w:eastAsia="等线" w:cs="Arial"/>
          <w:b/>
          <w:sz w:val="32"/>
        </w:rPr>
        <w:t>4.4 防腐及回填</w:t>
      </w:r>
      <w:bookmarkEnd w:id="14"/>
    </w:p>
    <w:p w14:paraId="6488FE9E">
      <w:pPr>
        <w:numPr>
          <w:ilvl w:val="0"/>
          <w:numId w:val="25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管道外壁喷砂除锈达Sa2.5级；</w:t>
      </w:r>
    </w:p>
    <w:p w14:paraId="0593ECEA">
      <w:pPr>
        <w:numPr>
          <w:ilvl w:val="0"/>
          <w:numId w:val="26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双层防腐涂装，耐地下潮湿、酸碱腐蚀；</w:t>
      </w:r>
    </w:p>
    <w:p w14:paraId="69EF1A41">
      <w:pPr>
        <w:numPr>
          <w:ilvl w:val="0"/>
          <w:numId w:val="27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套管与主管间隙采用黄砂密实填充，不得悬空。</w:t>
      </w:r>
    </w:p>
    <w:p w14:paraId="53BCDA0D">
      <w:pPr>
        <w:spacing w:before="380" w:after="140" w:line="288" w:lineRule="auto"/>
        <w:jc w:val="left"/>
        <w:outlineLvl w:val="0"/>
      </w:pPr>
      <w:bookmarkStart w:id="15" w:name="heading_17"/>
      <w:r>
        <w:rPr>
          <w:rFonts w:ascii="Arial" w:hAnsi="Arial" w:eastAsia="等线" w:cs="Arial"/>
          <w:b/>
          <w:sz w:val="36"/>
        </w:rPr>
        <w:t>5. 试验、吹扫及验收要求</w:t>
      </w:r>
      <w:bookmarkEnd w:id="15"/>
    </w:p>
    <w:p w14:paraId="7047550F">
      <w:pPr>
        <w:spacing w:before="320" w:after="120" w:line="288" w:lineRule="auto"/>
        <w:jc w:val="left"/>
        <w:outlineLvl w:val="1"/>
      </w:pPr>
      <w:bookmarkStart w:id="16" w:name="heading_18"/>
      <w:r>
        <w:rPr>
          <w:rFonts w:ascii="Arial" w:hAnsi="Arial" w:eastAsia="等线" w:cs="Arial"/>
          <w:b/>
          <w:sz w:val="32"/>
        </w:rPr>
        <w:t>5.1 压力试验</w:t>
      </w:r>
      <w:bookmarkEnd w:id="16"/>
    </w:p>
    <w:p w14:paraId="47B3E45F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管道安装完成后进行水压+气密性试验，试验压力为设计压力1.5倍，保压30分钟无压降、无渗漏为合格。</w:t>
      </w:r>
    </w:p>
    <w:p w14:paraId="3B9D788C">
      <w:pPr>
        <w:spacing w:before="320" w:after="120" w:line="288" w:lineRule="auto"/>
        <w:jc w:val="left"/>
        <w:outlineLvl w:val="1"/>
      </w:pPr>
      <w:bookmarkStart w:id="17" w:name="heading_19"/>
      <w:r>
        <w:rPr>
          <w:rFonts w:ascii="Arial" w:hAnsi="Arial" w:eastAsia="等线" w:cs="Arial"/>
          <w:b/>
          <w:sz w:val="32"/>
        </w:rPr>
        <w:t>5.2 管道吹扫</w:t>
      </w:r>
      <w:bookmarkEnd w:id="17"/>
    </w:p>
    <w:p w14:paraId="0310905C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采用洁净压缩空气连续吹扫，直至出口无灰尘、无水分、无杂质，满足CDA洁净用气标准。</w:t>
      </w:r>
    </w:p>
    <w:p w14:paraId="777079B4">
      <w:pPr>
        <w:spacing w:before="320" w:after="120" w:line="288" w:lineRule="auto"/>
        <w:jc w:val="left"/>
        <w:outlineLvl w:val="1"/>
      </w:pPr>
      <w:bookmarkStart w:id="18" w:name="heading_20"/>
      <w:r>
        <w:rPr>
          <w:rFonts w:ascii="Arial" w:hAnsi="Arial" w:eastAsia="等线" w:cs="Arial"/>
          <w:b/>
          <w:sz w:val="32"/>
        </w:rPr>
        <w:t>5.3 竣工资料</w:t>
      </w:r>
      <w:bookmarkEnd w:id="18"/>
    </w:p>
    <w:p w14:paraId="385B8CB3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中标单位必须提交全套竣工资料：材质合格证、探伤报告、试压报告、防腐报告、竣工图纸、隐蔽工程记录、验收记录表。</w:t>
      </w:r>
    </w:p>
    <w:p w14:paraId="39BB1309">
      <w:pPr>
        <w:spacing w:before="380" w:after="140" w:line="288" w:lineRule="auto"/>
        <w:jc w:val="left"/>
        <w:outlineLvl w:val="0"/>
      </w:pPr>
      <w:bookmarkStart w:id="19" w:name="heading_21"/>
      <w:r>
        <w:rPr>
          <w:rFonts w:ascii="Arial" w:hAnsi="Arial" w:eastAsia="等线" w:cs="Arial"/>
          <w:b/>
          <w:sz w:val="36"/>
        </w:rPr>
        <w:t>6.质保要求</w:t>
      </w:r>
      <w:bookmarkEnd w:id="19"/>
    </w:p>
    <w:p w14:paraId="185FD3AE">
      <w:pPr>
        <w:numPr>
          <w:ilvl w:val="0"/>
          <w:numId w:val="28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整体工程质保期≥2年；</w:t>
      </w:r>
    </w:p>
    <w:p w14:paraId="585E0866">
      <w:pPr>
        <w:numPr>
          <w:ilvl w:val="0"/>
          <w:numId w:val="29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管道质保5年以上；</w:t>
      </w:r>
    </w:p>
    <w:p w14:paraId="657CDBB7">
      <w:pPr>
        <w:numPr>
          <w:ilvl w:val="0"/>
          <w:numId w:val="30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质保期内出现泄漏、沉降、腐蚀由施工方免费维修。</w:t>
      </w:r>
    </w:p>
    <w:p w14:paraId="48BFD171">
      <w:pPr>
        <w:spacing w:before="380" w:after="140" w:line="288" w:lineRule="auto"/>
        <w:jc w:val="left"/>
        <w:outlineLvl w:val="0"/>
        <w:rPr>
          <w:rFonts w:ascii="Arial" w:hAnsi="Arial" w:eastAsia="等线" w:cs="Arial"/>
          <w:b/>
          <w:sz w:val="36"/>
        </w:rPr>
      </w:pPr>
      <w:r>
        <w:rPr>
          <w:rFonts w:hint="eastAsia" w:ascii="Arial" w:hAnsi="Arial" w:eastAsia="等线" w:cs="Arial"/>
          <w:b/>
          <w:sz w:val="36"/>
          <w:lang w:val="en-US" w:eastAsia="zh-CN"/>
        </w:rPr>
        <w:t>7</w:t>
      </w:r>
      <w:r>
        <w:rPr>
          <w:rFonts w:ascii="Arial" w:hAnsi="Arial" w:eastAsia="等线" w:cs="Arial"/>
          <w:b/>
          <w:sz w:val="36"/>
        </w:rPr>
        <w:t>. 深化设计要求</w:t>
      </w:r>
    </w:p>
    <w:p w14:paraId="47BE1832">
      <w:p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为保障管道长期安全运行，本次工程所有附属配件数量、安装间距、结构形式</w:t>
      </w:r>
      <w:r>
        <w:rPr>
          <w:rFonts w:ascii="Arial" w:hAnsi="Arial" w:eastAsia="等线" w:cs="Arial"/>
          <w:b/>
          <w:sz w:val="22"/>
        </w:rPr>
        <w:t>不由甲方指定，全部由中标施工单位、设计单位依据国家压力管道规范、动力管道设计标准结合现场地势、温差、沉降、穿路、转弯、高差工况进行计算优化</w:t>
      </w:r>
      <w:r>
        <w:rPr>
          <w:rFonts w:ascii="Arial" w:hAnsi="Arial" w:eastAsia="等线" w:cs="Arial"/>
          <w:sz w:val="22"/>
        </w:rPr>
        <w:t>，深化内容包含以下关键项：</w:t>
      </w:r>
    </w:p>
    <w:p w14:paraId="717A6B11">
      <w:pPr>
        <w:numPr>
          <w:ilvl w:val="0"/>
          <w:numId w:val="31"/>
        </w:numPr>
        <w:spacing w:before="120" w:after="120" w:line="288" w:lineRule="auto"/>
        <w:jc w:val="left"/>
      </w:pPr>
      <w:r>
        <w:rPr>
          <w:rFonts w:ascii="Arial" w:hAnsi="Arial" w:eastAsia="等线" w:cs="Arial"/>
          <w:b/>
          <w:sz w:val="22"/>
        </w:rPr>
        <w:t>伸缩节数量及位置</w:t>
      </w:r>
      <w:r>
        <w:rPr>
          <w:rFonts w:ascii="Arial" w:hAnsi="Arial" w:eastAsia="等线" w:cs="Arial"/>
          <w:sz w:val="22"/>
        </w:rPr>
        <w:t>：施工单位根据管道热胀冷缩、敷设长度、环境温差、拐弯点位，规范计算伸缩补偿量，合理选用不锈钢波纹伸缩节，确定安装数量、安装位置、固定方式；</w:t>
      </w:r>
    </w:p>
    <w:p w14:paraId="2AA82187">
      <w:pPr>
        <w:numPr>
          <w:ilvl w:val="0"/>
          <w:numId w:val="32"/>
        </w:numPr>
        <w:spacing w:before="120" w:after="120" w:line="288" w:lineRule="auto"/>
        <w:jc w:val="left"/>
      </w:pPr>
      <w:r>
        <w:rPr>
          <w:rFonts w:ascii="Arial" w:hAnsi="Arial" w:eastAsia="等线" w:cs="Arial"/>
          <w:b/>
          <w:sz w:val="22"/>
        </w:rPr>
        <w:t>管道井设置</w:t>
      </w:r>
      <w:r>
        <w:rPr>
          <w:rFonts w:ascii="Arial" w:hAnsi="Arial" w:eastAsia="等线" w:cs="Arial"/>
          <w:sz w:val="22"/>
        </w:rPr>
        <w:t>：依据规范在阀门处、检修断点、穿路两端、低洼积水点位设置管道检修井，合理确定井体尺寸、数量、结构形式、防水排水措施；</w:t>
      </w:r>
    </w:p>
    <w:p w14:paraId="50E9931F">
      <w:pPr>
        <w:numPr>
          <w:ilvl w:val="0"/>
          <w:numId w:val="33"/>
        </w:numPr>
        <w:spacing w:before="120" w:after="120" w:line="288" w:lineRule="auto"/>
        <w:jc w:val="left"/>
      </w:pPr>
      <w:r>
        <w:rPr>
          <w:rFonts w:ascii="Arial" w:hAnsi="Arial" w:eastAsia="等线" w:cs="Arial"/>
          <w:b/>
          <w:sz w:val="22"/>
        </w:rPr>
        <w:t>中间阀门配置</w:t>
      </w:r>
      <w:r>
        <w:rPr>
          <w:rFonts w:ascii="Arial" w:hAnsi="Arial" w:eastAsia="等线" w:cs="Arial"/>
          <w:sz w:val="22"/>
        </w:rPr>
        <w:t>：结合管网分区、检修隔断、供气切换要求，合理布设切断阀、旁路阀、排污阀</w:t>
      </w:r>
      <w:r>
        <w:rPr>
          <w:rFonts w:hint="eastAsia" w:ascii="Arial" w:hAnsi="Arial" w:eastAsia="等线" w:cs="Arial"/>
          <w:sz w:val="22"/>
        </w:rPr>
        <w:t>、伸缩节</w:t>
      </w:r>
      <w:r>
        <w:rPr>
          <w:rFonts w:ascii="Arial" w:hAnsi="Arial" w:eastAsia="等线" w:cs="Arial"/>
          <w:sz w:val="22"/>
        </w:rPr>
        <w:t>，明确阀门型号、材质、数量、安装位置；</w:t>
      </w:r>
    </w:p>
    <w:p w14:paraId="57A7944A">
      <w:pPr>
        <w:numPr>
          <w:ilvl w:val="0"/>
          <w:numId w:val="34"/>
        </w:numPr>
        <w:spacing w:before="120" w:after="120" w:line="288" w:lineRule="auto"/>
        <w:jc w:val="left"/>
      </w:pPr>
      <w:r>
        <w:rPr>
          <w:rFonts w:ascii="Arial" w:hAnsi="Arial" w:eastAsia="等线" w:cs="Arial"/>
          <w:b/>
          <w:sz w:val="22"/>
        </w:rPr>
        <w:t>管道固定系统</w:t>
      </w:r>
      <w:r>
        <w:rPr>
          <w:rFonts w:ascii="Arial" w:hAnsi="Arial" w:eastAsia="等线" w:cs="Arial"/>
          <w:sz w:val="22"/>
        </w:rPr>
        <w:t>：包含固定支架、滑动支架、承重支墩、防晃支架，</w:t>
      </w:r>
      <w:r>
        <w:rPr>
          <w:rFonts w:hint="eastAsia" w:ascii="Arial" w:hAnsi="Arial" w:eastAsia="等线" w:cs="Arial"/>
          <w:sz w:val="22"/>
        </w:rPr>
        <w:t>套管，</w:t>
      </w:r>
      <w:r>
        <w:rPr>
          <w:rFonts w:ascii="Arial" w:hAnsi="Arial" w:eastAsia="等线" w:cs="Arial"/>
          <w:sz w:val="22"/>
        </w:rPr>
        <w:t>施工单位依据管道自重、介质压力、风荷载、地面沉降条件，规范排布支架间距、加固方式、防腐处理；</w:t>
      </w:r>
    </w:p>
    <w:p w14:paraId="4F6FFD6E">
      <w:pPr>
        <w:numPr>
          <w:ilvl w:val="0"/>
          <w:numId w:val="35"/>
        </w:numPr>
        <w:spacing w:before="120" w:after="120" w:line="288" w:lineRule="auto"/>
        <w:jc w:val="left"/>
      </w:pPr>
      <w:r>
        <w:rPr>
          <w:rFonts w:ascii="Arial" w:hAnsi="Arial" w:eastAsia="等线" w:cs="Arial"/>
          <w:sz w:val="22"/>
        </w:rPr>
        <w:t>其他疏水、排污、排气、防雷、防静电、防护套管等附属配套全部由中标单位深化完善。</w:t>
      </w:r>
    </w:p>
    <w:p w14:paraId="26CF3AF9">
      <w:pPr>
        <w:spacing w:before="380" w:after="140" w:line="288" w:lineRule="auto"/>
        <w:jc w:val="left"/>
        <w:outlineLvl w:val="0"/>
        <w:rPr>
          <w:rFonts w:ascii="Arial" w:hAnsi="Arial" w:eastAsia="等线" w:cs="Arial"/>
          <w:b/>
          <w:sz w:val="36"/>
        </w:rPr>
      </w:pPr>
      <w:r>
        <w:rPr>
          <w:rFonts w:hint="eastAsia" w:ascii="Arial" w:hAnsi="Arial" w:eastAsia="等线" w:cs="Arial"/>
          <w:b/>
          <w:sz w:val="36"/>
          <w:lang w:val="en-US" w:eastAsia="zh-CN"/>
        </w:rPr>
        <w:t>8</w:t>
      </w:r>
      <w:r>
        <w:rPr>
          <w:rFonts w:ascii="Arial" w:hAnsi="Arial" w:eastAsia="等线" w:cs="Arial"/>
          <w:b/>
          <w:sz w:val="36"/>
        </w:rPr>
        <w:t>.</w:t>
      </w:r>
      <w:r>
        <w:rPr>
          <w:rFonts w:hint="eastAsia" w:ascii="Arial" w:hAnsi="Arial" w:eastAsia="等线" w:cs="Arial"/>
          <w:b/>
          <w:sz w:val="36"/>
        </w:rPr>
        <w:t>管道路由示意</w:t>
      </w:r>
    </w:p>
    <w:p w14:paraId="6E50F9B5">
      <w:pPr>
        <w:spacing w:before="380" w:after="140" w:line="288" w:lineRule="auto"/>
        <w:jc w:val="left"/>
        <w:outlineLvl w:val="0"/>
        <w:rPr>
          <w:rFonts w:ascii="Arial" w:hAnsi="Arial" w:eastAsia="等线" w:cs="Arial"/>
          <w:b/>
          <w:sz w:val="36"/>
        </w:rPr>
      </w:pPr>
      <w:r>
        <w:rPr>
          <w:rFonts w:ascii="Arial" w:hAnsi="Arial" w:eastAsia="等线" w:cs="Arial"/>
          <w:b/>
          <w:sz w:val="36"/>
        </w:rPr>
        <w:drawing>
          <wp:inline distT="0" distB="0" distL="0" distR="0">
            <wp:extent cx="5273675" cy="3615055"/>
            <wp:effectExtent l="0" t="0" r="3175" b="4445"/>
            <wp:docPr id="2" name="图片 2" descr="C:\Users\LS000993\AppData\Local\Temp\WeChat Files\b26ed2798854781a13891be092e0d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S000993\AppData\Local\Temp\WeChat Files\b26ed2798854781a13891be092e0dc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1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B0BA1">
      <w:pPr>
        <w:spacing w:before="380" w:after="140" w:line="288" w:lineRule="auto"/>
        <w:jc w:val="left"/>
        <w:outlineLvl w:val="0"/>
        <w:rPr>
          <w:rFonts w:hint="eastAsia" w:ascii="Arial" w:hAnsi="Arial" w:eastAsia="等线" w:cs="Arial"/>
          <w:sz w:val="22"/>
        </w:rPr>
      </w:pPr>
      <w:bookmarkStart w:id="20" w:name="heading_25"/>
      <w:r>
        <w:rPr>
          <w:rFonts w:ascii="Arial" w:hAnsi="Arial" w:eastAsia="等线" w:cs="Arial"/>
          <w:sz w:val="22"/>
        </w:rPr>
        <w:t>管路起始于车间 5.5 米夹层压缩空气预留接口，沿管道向上敷设至 8.5 米夹层后向西穿出，接入西辅房屋面；依托既有管廊支架向南延伸至指定点位，再下穿埋地敷设，最终由东向西埋地接入组件厂房</w:t>
      </w:r>
      <w:r>
        <w:rPr>
          <w:rFonts w:hint="eastAsia" w:ascii="Arial" w:hAnsi="Arial" w:eastAsia="等线" w:cs="Arial"/>
          <w:sz w:val="22"/>
        </w:rPr>
        <w:t>，施工路径及方案都由总包方负责。</w:t>
      </w:r>
      <w:r>
        <w:rPr>
          <w:rFonts w:hint="eastAsia" w:ascii="Arial" w:hAnsi="Arial" w:eastAsia="等线" w:cs="Arial"/>
          <w:sz w:val="22"/>
          <w:lang w:eastAsia="zh-CN"/>
        </w:rPr>
        <w:t>（</w:t>
      </w:r>
      <w:r>
        <w:rPr>
          <w:rFonts w:hint="eastAsia" w:ascii="Arial" w:hAnsi="Arial" w:eastAsia="等线" w:cs="Arial"/>
          <w:sz w:val="22"/>
        </w:rPr>
        <w:t>同供电局、城管局、城建局、天然气公司、供排水公司、开发区、四川中科智能科技有限公司、丹工投等沟通协调事宜</w:t>
      </w:r>
      <w:r>
        <w:rPr>
          <w:rFonts w:hint="eastAsia" w:ascii="Arial" w:hAnsi="Arial" w:eastAsia="等线" w:cs="Arial"/>
          <w:sz w:val="22"/>
          <w:lang w:val="en-US" w:eastAsia="zh-CN"/>
        </w:rPr>
        <w:t>均由总包负责</w:t>
      </w:r>
      <w:r>
        <w:rPr>
          <w:rFonts w:hint="eastAsia" w:ascii="Arial" w:hAnsi="Arial" w:eastAsia="等线" w:cs="Arial"/>
          <w:sz w:val="22"/>
        </w:rPr>
        <w:t>）。</w:t>
      </w:r>
      <w:bookmarkStart w:id="21" w:name="_GoBack"/>
      <w:bookmarkEnd w:id="21"/>
    </w:p>
    <w:p w14:paraId="24379EEB">
      <w:pPr>
        <w:spacing w:before="380" w:after="140" w:line="288" w:lineRule="auto"/>
        <w:jc w:val="left"/>
        <w:outlineLvl w:val="0"/>
        <w:rPr>
          <w:rFonts w:ascii="Arial" w:hAnsi="Arial" w:eastAsia="等线" w:cs="Arial"/>
          <w:b/>
          <w:sz w:val="36"/>
        </w:rPr>
      </w:pPr>
      <w:r>
        <w:rPr>
          <w:rFonts w:hint="eastAsia" w:ascii="Arial" w:hAnsi="Arial" w:eastAsia="等线" w:cs="Arial"/>
          <w:b/>
          <w:sz w:val="36"/>
          <w:lang w:val="en-US" w:eastAsia="zh-CN"/>
        </w:rPr>
        <w:t>9</w:t>
      </w:r>
      <w:r>
        <w:rPr>
          <w:rFonts w:ascii="Arial" w:hAnsi="Arial" w:eastAsia="等线" w:cs="Arial"/>
          <w:b/>
          <w:sz w:val="36"/>
        </w:rPr>
        <w:t>. 其他要求</w:t>
      </w:r>
      <w:bookmarkEnd w:id="20"/>
    </w:p>
    <w:p w14:paraId="1905CE29">
      <w:pPr>
        <w:spacing w:before="120" w:after="120" w:line="288" w:lineRule="auto"/>
        <w:jc w:val="left"/>
        <w:rPr>
          <w:rFonts w:ascii="Arial" w:hAnsi="Arial" w:eastAsia="等线" w:cs="Arial"/>
          <w:sz w:val="22"/>
        </w:rPr>
      </w:pPr>
      <w:r>
        <w:rPr>
          <w:rFonts w:ascii="Arial" w:hAnsi="Arial" w:eastAsia="等线" w:cs="Arial"/>
          <w:sz w:val="22"/>
        </w:rPr>
        <w:t>本项目为固定总价包干方式，包含材料、人工、机械、运输、审批、检测、安全、税金、备用金等所有费用，中标后甲方不再追加任何费用。施工全过程必须满足厂区安全管理规定，做好围挡、警示、交通疏导，完工现场做到工完场清。</w:t>
      </w:r>
    </w:p>
    <w:p w14:paraId="3E0E7519">
      <w:pPr>
        <w:spacing w:before="120" w:after="120" w:line="288" w:lineRule="auto"/>
        <w:jc w:val="left"/>
        <w:rPr>
          <w:rFonts w:ascii="Arial" w:hAnsi="Arial" w:eastAsia="等线" w:cs="Arial"/>
          <w:sz w:val="22"/>
        </w:rPr>
      </w:pPr>
    </w:p>
    <w:p w14:paraId="25765B23">
      <w:pPr>
        <w:spacing w:before="120" w:after="120" w:line="288" w:lineRule="auto"/>
        <w:jc w:val="left"/>
      </w:pPr>
    </w:p>
    <w:p w14:paraId="77F9F080">
      <w:pPr>
        <w:spacing w:before="120" w:after="120" w:line="288" w:lineRule="auto"/>
        <w:jc w:val="left"/>
      </w:pPr>
    </w:p>
    <w:sectPr>
      <w:pgSz w:w="11905" w:h="16840"/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FF61A1"/>
    <w:multiLevelType w:val="multilevel"/>
    <w:tmpl w:val="00FF61A1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01E55338"/>
    <w:multiLevelType w:val="multilevel"/>
    <w:tmpl w:val="01E55338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0322617D"/>
    <w:multiLevelType w:val="multilevel"/>
    <w:tmpl w:val="0322617D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056232A0"/>
    <w:multiLevelType w:val="multilevel"/>
    <w:tmpl w:val="056232A0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05885FFC"/>
    <w:multiLevelType w:val="multilevel"/>
    <w:tmpl w:val="05885FFC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5">
    <w:nsid w:val="07E478B2"/>
    <w:multiLevelType w:val="multilevel"/>
    <w:tmpl w:val="07E478B2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6">
    <w:nsid w:val="0C6E19E4"/>
    <w:multiLevelType w:val="multilevel"/>
    <w:tmpl w:val="0C6E19E4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7">
    <w:nsid w:val="10EC5131"/>
    <w:multiLevelType w:val="multilevel"/>
    <w:tmpl w:val="10EC5131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8">
    <w:nsid w:val="16CC4449"/>
    <w:multiLevelType w:val="multilevel"/>
    <w:tmpl w:val="16CC4449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9">
    <w:nsid w:val="197B26A6"/>
    <w:multiLevelType w:val="multilevel"/>
    <w:tmpl w:val="197B26A6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0">
    <w:nsid w:val="27BC1A69"/>
    <w:multiLevelType w:val="multilevel"/>
    <w:tmpl w:val="27BC1A69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1">
    <w:nsid w:val="289B6EE5"/>
    <w:multiLevelType w:val="multilevel"/>
    <w:tmpl w:val="289B6EE5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2">
    <w:nsid w:val="2A0D5D75"/>
    <w:multiLevelType w:val="multilevel"/>
    <w:tmpl w:val="2A0D5D75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3">
    <w:nsid w:val="2D9C7CC6"/>
    <w:multiLevelType w:val="multilevel"/>
    <w:tmpl w:val="2D9C7CC6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4">
    <w:nsid w:val="2FEE7148"/>
    <w:multiLevelType w:val="multilevel"/>
    <w:tmpl w:val="2FEE7148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5">
    <w:nsid w:val="395B2952"/>
    <w:multiLevelType w:val="multilevel"/>
    <w:tmpl w:val="395B2952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6">
    <w:nsid w:val="39B8780B"/>
    <w:multiLevelType w:val="multilevel"/>
    <w:tmpl w:val="39B8780B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7">
    <w:nsid w:val="3C165503"/>
    <w:multiLevelType w:val="multilevel"/>
    <w:tmpl w:val="3C165503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8">
    <w:nsid w:val="3E8666F6"/>
    <w:multiLevelType w:val="multilevel"/>
    <w:tmpl w:val="3E8666F6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9">
    <w:nsid w:val="400D6FA1"/>
    <w:multiLevelType w:val="multilevel"/>
    <w:tmpl w:val="400D6FA1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0">
    <w:nsid w:val="41396E8B"/>
    <w:multiLevelType w:val="multilevel"/>
    <w:tmpl w:val="41396E8B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1">
    <w:nsid w:val="42167983"/>
    <w:multiLevelType w:val="multilevel"/>
    <w:tmpl w:val="42167983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2">
    <w:nsid w:val="434914D4"/>
    <w:multiLevelType w:val="multilevel"/>
    <w:tmpl w:val="434914D4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3">
    <w:nsid w:val="4FE67618"/>
    <w:multiLevelType w:val="multilevel"/>
    <w:tmpl w:val="4FE67618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4">
    <w:nsid w:val="5383007C"/>
    <w:multiLevelType w:val="multilevel"/>
    <w:tmpl w:val="5383007C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5">
    <w:nsid w:val="562C25D7"/>
    <w:multiLevelType w:val="multilevel"/>
    <w:tmpl w:val="562C25D7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6">
    <w:nsid w:val="5EAF20C1"/>
    <w:multiLevelType w:val="multilevel"/>
    <w:tmpl w:val="5EAF20C1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7">
    <w:nsid w:val="60142140"/>
    <w:multiLevelType w:val="multilevel"/>
    <w:tmpl w:val="60142140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8">
    <w:nsid w:val="603E0455"/>
    <w:multiLevelType w:val="multilevel"/>
    <w:tmpl w:val="603E0455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9">
    <w:nsid w:val="65B814A8"/>
    <w:multiLevelType w:val="multilevel"/>
    <w:tmpl w:val="65B814A8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0">
    <w:nsid w:val="73A97CF6"/>
    <w:multiLevelType w:val="multilevel"/>
    <w:tmpl w:val="73A97CF6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1">
    <w:nsid w:val="7A6973B1"/>
    <w:multiLevelType w:val="multilevel"/>
    <w:tmpl w:val="7A6973B1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2">
    <w:nsid w:val="7AA4403D"/>
    <w:multiLevelType w:val="multilevel"/>
    <w:tmpl w:val="7AA4403D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3">
    <w:nsid w:val="7B471A2F"/>
    <w:multiLevelType w:val="multilevel"/>
    <w:tmpl w:val="7B471A2F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4">
    <w:nsid w:val="7EF55123"/>
    <w:multiLevelType w:val="multilevel"/>
    <w:tmpl w:val="7EF55123"/>
    <w:lvl w:ilvl="0" w:tentative="0">
      <w:start w:val="0"/>
      <w:numFmt w:val="bullet"/>
      <w:lvlText w:val="•"/>
      <w:lvlJc w:val="left"/>
      <w:rPr>
        <w:color w:val="3370FF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27"/>
  </w:num>
  <w:num w:numId="2">
    <w:abstractNumId w:val="32"/>
  </w:num>
  <w:num w:numId="3">
    <w:abstractNumId w:val="31"/>
  </w:num>
  <w:num w:numId="4">
    <w:abstractNumId w:val="8"/>
  </w:num>
  <w:num w:numId="5">
    <w:abstractNumId w:val="2"/>
  </w:num>
  <w:num w:numId="6">
    <w:abstractNumId w:val="4"/>
  </w:num>
  <w:num w:numId="7">
    <w:abstractNumId w:val="18"/>
  </w:num>
  <w:num w:numId="8">
    <w:abstractNumId w:val="5"/>
  </w:num>
  <w:num w:numId="9">
    <w:abstractNumId w:val="15"/>
  </w:num>
  <w:num w:numId="10">
    <w:abstractNumId w:val="17"/>
  </w:num>
  <w:num w:numId="11">
    <w:abstractNumId w:val="3"/>
  </w:num>
  <w:num w:numId="12">
    <w:abstractNumId w:val="16"/>
  </w:num>
  <w:num w:numId="13">
    <w:abstractNumId w:val="14"/>
  </w:num>
  <w:num w:numId="14">
    <w:abstractNumId w:val="1"/>
  </w:num>
  <w:num w:numId="15">
    <w:abstractNumId w:val="34"/>
  </w:num>
  <w:num w:numId="16">
    <w:abstractNumId w:val="21"/>
  </w:num>
  <w:num w:numId="17">
    <w:abstractNumId w:val="11"/>
  </w:num>
  <w:num w:numId="18">
    <w:abstractNumId w:val="19"/>
  </w:num>
  <w:num w:numId="19">
    <w:abstractNumId w:val="9"/>
  </w:num>
  <w:num w:numId="20">
    <w:abstractNumId w:val="25"/>
  </w:num>
  <w:num w:numId="21">
    <w:abstractNumId w:val="26"/>
  </w:num>
  <w:num w:numId="22">
    <w:abstractNumId w:val="12"/>
  </w:num>
  <w:num w:numId="23">
    <w:abstractNumId w:val="28"/>
  </w:num>
  <w:num w:numId="24">
    <w:abstractNumId w:val="29"/>
  </w:num>
  <w:num w:numId="25">
    <w:abstractNumId w:val="0"/>
  </w:num>
  <w:num w:numId="26">
    <w:abstractNumId w:val="7"/>
  </w:num>
  <w:num w:numId="27">
    <w:abstractNumId w:val="13"/>
  </w:num>
  <w:num w:numId="28">
    <w:abstractNumId w:val="33"/>
  </w:num>
  <w:num w:numId="29">
    <w:abstractNumId w:val="6"/>
  </w:num>
  <w:num w:numId="30">
    <w:abstractNumId w:val="20"/>
  </w:num>
  <w:num w:numId="31">
    <w:abstractNumId w:val="30"/>
  </w:num>
  <w:num w:numId="32">
    <w:abstractNumId w:val="23"/>
  </w:num>
  <w:num w:numId="33">
    <w:abstractNumId w:val="22"/>
  </w:num>
  <w:num w:numId="34">
    <w:abstractNumId w:val="10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17"/>
    <w:rsid w:val="001214BF"/>
    <w:rsid w:val="00210B05"/>
    <w:rsid w:val="002129E4"/>
    <w:rsid w:val="002728C6"/>
    <w:rsid w:val="002B310C"/>
    <w:rsid w:val="0030038C"/>
    <w:rsid w:val="005540AB"/>
    <w:rsid w:val="00584F35"/>
    <w:rsid w:val="00852417"/>
    <w:rsid w:val="00A038B8"/>
    <w:rsid w:val="00A03F4B"/>
    <w:rsid w:val="00A91309"/>
    <w:rsid w:val="00B367A8"/>
    <w:rsid w:val="00D94979"/>
    <w:rsid w:val="00E6190C"/>
    <w:rsid w:val="00F0647A"/>
    <w:rsid w:val="1FCB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1851</Words>
  <Characters>2010</Characters>
  <Lines>15</Lines>
  <Paragraphs>4</Paragraphs>
  <TotalTime>34</TotalTime>
  <ScaleCrop>false</ScaleCrop>
  <LinksUpToDate>false</LinksUpToDate>
  <CharactersWithSpaces>2040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2026-05-08T05:59:00Z</dcterms:created>
  <dc:creator>Apache POI</dc:creator>
  <cp:lastModifiedBy>心印</cp:lastModifiedBy>
  <dcterms:modified xsi:type="dcterms:W3CDTF">2026-05-18T05:16:19Z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eyJoZGlkIjoiNjEwMmIxMDVhNzE2ZDAxZmViZjFhOGExMGViNmZkZWUiLCJ1c2VySWQiOiI2MDYwNzY5ODEifQ==</vt:lpwstr>
  </property>
  <property fmtid="{D5CDD505-2E9C-101B-9397-08002B2CF9AE}" pid="3" name="KSOProductBuildVer">
    <vt:lpwstr>2052-12.1.0.26375</vt:lpwstr>
  </property>
  <property fmtid="{D5CDD505-2E9C-101B-9397-08002B2CF9AE}" pid="4" name="ICV">
    <vt:lpwstr>F6A68A7704FA404886EA158BF31202DC_13</vt:lpwstr>
  </property>
</Properties>
</file>