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18FC22">
      <w:pPr>
        <w:pageBreakBefore w:val="0"/>
        <w:wordWrap/>
        <w:spacing w:before="160" w:after="0"/>
        <w:ind w:left="0" w:right="0"/>
        <w:jc w:val="center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/>
          <w:i w:val="0"/>
          <w:spacing w:val="0"/>
          <w:sz w:val="28"/>
          <w:szCs w:val="28"/>
          <w:lang w:val="en-US" w:eastAsia="zh-CN"/>
        </w:rPr>
        <w:t>电池厂至组建厂</w:t>
      </w:r>
      <w:r>
        <w:rPr>
          <w:rFonts w:ascii="宋体" w:hAnsi="宋体" w:eastAsia="宋体" w:cs="宋体"/>
          <w:b/>
          <w:i w:val="0"/>
          <w:spacing w:val="0"/>
          <w:sz w:val="28"/>
          <w:szCs w:val="28"/>
        </w:rPr>
        <w:t>10kV</w:t>
      </w:r>
      <w:r>
        <w:rPr>
          <w:rFonts w:hint="eastAsia" w:ascii="宋体" w:hAnsi="宋体" w:eastAsia="宋体" w:cs="宋体"/>
          <w:b/>
          <w:i w:val="0"/>
          <w:spacing w:val="0"/>
          <w:sz w:val="28"/>
          <w:szCs w:val="28"/>
          <w:lang w:val="en-US" w:eastAsia="zh-CN"/>
        </w:rPr>
        <w:t>线缆管道施工技术</w:t>
      </w:r>
      <w:r>
        <w:rPr>
          <w:rFonts w:ascii="宋体" w:hAnsi="宋体" w:eastAsia="宋体" w:cs="宋体"/>
          <w:b/>
          <w:i w:val="0"/>
          <w:spacing w:val="0"/>
          <w:sz w:val="28"/>
          <w:szCs w:val="28"/>
        </w:rPr>
        <w:t>规格书</w:t>
      </w:r>
    </w:p>
    <w:p w14:paraId="692C08F1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一、工程总述</w:t>
      </w:r>
    </w:p>
    <w:p w14:paraId="2CBE41DC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1.1 工程基本概况</w:t>
      </w:r>
    </w:p>
    <w:p w14:paraId="3C3DC106">
      <w:pPr>
        <w:pageBreakBefore w:val="0"/>
        <w:wordWrap/>
        <w:spacing w:before="160" w:after="0"/>
        <w:ind w:left="0" w:right="0" w:firstLine="480" w:firstLineChars="200"/>
        <w:jc w:val="left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本工程为10kV高压电力电缆长距离敷设项目，电缆线路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为眉山琏升光伏科技有限公司电池厂110kV变电站10kV备用柜至组件厂3#厂房10kV配电室电源进线柜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，供电容量5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444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kVA，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本工程为EPC工程。</w:t>
      </w:r>
    </w:p>
    <w:p w14:paraId="4FA92DA5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1.2 核心设计依据</w:t>
      </w:r>
    </w:p>
    <w:p w14:paraId="5DDA94BF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《电力工程电缆设计标准》（GB 50217-2018）</w:t>
      </w:r>
    </w:p>
    <w:p w14:paraId="0FDFDC42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《电气装置安装工程电缆线路施工及验收标准》（GB 50168-2018）</w:t>
      </w:r>
    </w:p>
    <w:p w14:paraId="1F9FF437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《额定电压6kV到35kV挤包绝缘电力电缆及附件》（GB/T 12706-2020）</w:t>
      </w:r>
    </w:p>
    <w:p w14:paraId="3AF9B621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4.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现场地质勘察报告、10kV供电系统负荷参数</w:t>
      </w:r>
    </w:p>
    <w:p w14:paraId="03F37DC6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二、10kV电缆核心选型设计</w:t>
      </w:r>
    </w:p>
    <w:p w14:paraId="603B4273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2.1 电缆额定电压等级</w:t>
      </w:r>
    </w:p>
    <w:p w14:paraId="2BF26E2E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选用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YJLV22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8.7/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15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kV高压电力电缆，适配10kV三相交流配电系统。</w:t>
      </w:r>
    </w:p>
    <w:p w14:paraId="11C03B6F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2.2 电缆导体材质与截面选型</w:t>
      </w:r>
    </w:p>
    <w:p w14:paraId="68F60C98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2.2.1 导体材质</w:t>
      </w:r>
    </w:p>
    <w:p w14:paraId="020FB393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采用铝芯导体，符合用户指定要求。铝芯电缆具有重量轻、成本低的优点，适用于大容量长距离输电项目。</w:t>
      </w:r>
    </w:p>
    <w:p w14:paraId="4FE8D49E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2.2.2 导体截面规格</w:t>
      </w:r>
    </w:p>
    <w:p w14:paraId="6BCFBA75">
      <w:pPr>
        <w:pageBreakBefore w:val="0"/>
        <w:wordWrap/>
        <w:spacing w:before="160" w:after="0"/>
        <w:ind w:left="0" w:right="0"/>
        <w:jc w:val="left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负荷参数：</w:t>
      </w: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两台10kV容量为2500kVA变压器、两台10kV容量为444kVA高压变频电机（一用一备）总容量为5444kVA.</w:t>
      </w:r>
    </w:p>
    <w:p w14:paraId="54BC2B7C">
      <w:pPr>
        <w:pageBreakBefore w:val="0"/>
        <w:wordWrap/>
        <w:spacing w:before="160" w:after="0"/>
        <w:ind w:left="0" w:right="0"/>
        <w:jc w:val="left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选型：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选用 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YJLV22-8.7/</w:t>
      </w: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15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kV 3×</w:t>
      </w: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24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0mm²</w:t>
      </w: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及以上电缆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铝芯钢带铠装交联聚乙烯绝缘电缆，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需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满足5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444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kVA容量要求，确保电压降控制在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5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%以内。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如本选型不能满足根据设计要求选型。</w:t>
      </w:r>
    </w:p>
    <w:p w14:paraId="6DFE8039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2.3 电缆绝缘与护层结构</w:t>
      </w:r>
    </w:p>
    <w:p w14:paraId="4DF8EBF0">
      <w:pPr>
        <w:pageBreakBefore w:val="0"/>
        <w:numPr>
          <w:ilvl w:val="0"/>
          <w:numId w:val="1"/>
        </w:numPr>
        <w:wordWrap/>
        <w:spacing w:before="160" w:after="0"/>
        <w:ind w:left="440" w:right="0" w:hanging="440"/>
        <w:jc w:val="left"/>
        <w:textAlignment w:val="auto"/>
        <w:rPr>
          <w:b/>
          <w:bCs/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绝缘层：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i w:val="0"/>
          <w:spacing w:val="0"/>
          <w:sz w:val="24"/>
          <w:szCs w:val="24"/>
        </w:rPr>
        <w:t>交联聚乙烯（XLPE）绝缘，厚度符合GB/T 12706标准</w:t>
      </w:r>
    </w:p>
    <w:p w14:paraId="371CEA2C">
      <w:pPr>
        <w:pageBreakBefore w:val="0"/>
        <w:numPr>
          <w:ilvl w:val="0"/>
          <w:numId w:val="1"/>
        </w:numPr>
        <w:wordWrap/>
        <w:spacing w:before="160" w:after="0"/>
        <w:ind w:left="440" w:right="0" w:hanging="440"/>
        <w:jc w:val="left"/>
        <w:textAlignment w:val="auto"/>
        <w:rPr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i w:val="0"/>
          <w:spacing w:val="0"/>
          <w:sz w:val="24"/>
          <w:szCs w:val="24"/>
        </w:rPr>
        <w:t>屏蔽层： 导体屏蔽+绝缘屏蔽双层结构</w:t>
      </w:r>
    </w:p>
    <w:p w14:paraId="7BE1E86B">
      <w:pPr>
        <w:pageBreakBefore w:val="0"/>
        <w:numPr>
          <w:ilvl w:val="0"/>
          <w:numId w:val="1"/>
        </w:numPr>
        <w:wordWrap/>
        <w:spacing w:before="160" w:after="0"/>
        <w:ind w:left="440" w:right="0" w:hanging="440"/>
        <w:jc w:val="left"/>
        <w:textAlignment w:val="auto"/>
        <w:rPr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i w:val="0"/>
          <w:spacing w:val="0"/>
          <w:sz w:val="24"/>
          <w:szCs w:val="24"/>
        </w:rPr>
        <w:t>护层结构： 双层钢带铠装+聚氯乙烯外护套（YJLV22）</w:t>
      </w:r>
    </w:p>
    <w:p w14:paraId="32AFA81E">
      <w:pPr>
        <w:pageBreakBefore w:val="0"/>
        <w:wordWrap/>
        <w:spacing w:before="160" w:after="0"/>
        <w:ind w:left="0" w:right="0"/>
        <w:jc w:val="left"/>
        <w:textAlignment w:val="auto"/>
        <w:rPr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i w:val="0"/>
          <w:spacing w:val="0"/>
          <w:sz w:val="24"/>
          <w:szCs w:val="24"/>
        </w:rPr>
        <w:t>2.4 电缆附件选型</w:t>
      </w:r>
    </w:p>
    <w:p w14:paraId="464EF858">
      <w:pPr>
        <w:pageBreakBefore w:val="0"/>
        <w:numPr>
          <w:ilvl w:val="0"/>
          <w:numId w:val="2"/>
        </w:numPr>
        <w:wordWrap/>
        <w:spacing w:before="160" w:after="0"/>
        <w:ind w:left="440" w:right="0" w:hanging="44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电缆终端头</w:t>
      </w: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10kV冷缩式户外/户内终端头</w:t>
      </w:r>
    </w:p>
    <w:p w14:paraId="04AFABCA">
      <w:pPr>
        <w:pageBreakBefore w:val="0"/>
        <w:numPr>
          <w:ilvl w:val="0"/>
          <w:numId w:val="2"/>
        </w:numPr>
        <w:wordWrap/>
        <w:spacing w:before="160" w:after="0"/>
        <w:ind w:left="440" w:right="0" w:hanging="44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电缆中间接头：</w:t>
      </w:r>
      <w:bookmarkStart w:id="0" w:name="_GoBack"/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如需设置，采用10kV冷缩式中间接头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接头数量最多设置一处接头。接头前后前后各预留1.5-2米余量至于井内。</w:t>
      </w:r>
      <w:bookmarkEnd w:id="0"/>
    </w:p>
    <w:p w14:paraId="140F68BD">
      <w:pPr>
        <w:pageBreakBefore w:val="0"/>
        <w:numPr>
          <w:ilvl w:val="0"/>
          <w:numId w:val="2"/>
        </w:numPr>
        <w:wordWrap/>
        <w:spacing w:before="160" w:after="0"/>
        <w:ind w:left="440" w:right="0" w:hanging="44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接地装置</w:t>
      </w: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接地引线采用≥25mm²铝芯接地线，接地电阻≤4Ω</w:t>
      </w:r>
    </w:p>
    <w:p w14:paraId="5EAC755D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三、敷设路径与敷设方式设计</w:t>
      </w:r>
    </w:p>
    <w:p w14:paraId="40ABB0AA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3.1 敷设路径规划</w:t>
      </w:r>
    </w:p>
    <w:p w14:paraId="359E20A1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线路总长度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大约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1200米，沿规划路径敷设</w:t>
      </w:r>
    </w:p>
    <w:p w14:paraId="3A0A8BBF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路径走向平直，转弯半径≥20倍电缆外径</w:t>
      </w:r>
    </w:p>
    <w:p w14:paraId="1E6E0DD9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设置高压电缆标识桩，直线段每隔50米设置1处</w:t>
      </w:r>
    </w:p>
    <w:p w14:paraId="65FD01DC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3.2 敷设方式（组合式敷设）</w:t>
      </w:r>
    </w:p>
    <w:p w14:paraId="6DEE87E8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3.2.1 直埋敷设</w:t>
      </w:r>
    </w:p>
    <w:p w14:paraId="1620F5D1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开挖电缆沟：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沟深≥1.2米，沟底宽度≥0.6米</w:t>
      </w:r>
    </w:p>
    <w:p w14:paraId="278A4FFA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电缆敷设：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单根电缆平直敷设，覆盖200mm厚细沙，上方铺设混凝土保护板</w:t>
      </w:r>
    </w:p>
    <w:p w14:paraId="7BC2C16C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回填夯实：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素土分层回填，每层厚度≤300mm</w:t>
      </w:r>
    </w:p>
    <w:p w14:paraId="457998CF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3.2.2 穿管敷设</w:t>
      </w:r>
    </w:p>
    <w:p w14:paraId="631318F6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保护管：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PE管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，内径≥1.5倍电缆外径</w:t>
      </w:r>
    </w:p>
    <w:p w14:paraId="71443502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埋设深度：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≥1.5米，管口打磨倒角</w:t>
      </w:r>
    </w:p>
    <w:p w14:paraId="55302962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防水处理：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管两端伸出路面边缘≥0.5米</w:t>
      </w:r>
    </w:p>
    <w:p w14:paraId="2D19DB20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3.2.3 电缆沟/桥架敷设</w:t>
      </w:r>
    </w:p>
    <w:p w14:paraId="454C0739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电缆沟：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热镀锌钢制电缆沟，宽度≥400mm</w:t>
      </w:r>
    </w:p>
    <w:p w14:paraId="7E374B15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支架间距：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≤1.5米，桥架加盖板防护</w:t>
      </w:r>
    </w:p>
    <w:p w14:paraId="2B64D5CB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rFonts w:ascii="宋体" w:hAnsi="宋体" w:eastAsia="宋体" w:cs="宋体"/>
          <w:b w:val="0"/>
          <w:i w:val="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电缆固定：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高压电缆单独布设，间距≥0.3米</w:t>
      </w:r>
    </w:p>
    <w:p w14:paraId="6BFBF3C2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rFonts w:hint="default" w:ascii="宋体" w:hAnsi="宋体" w:eastAsia="宋体" w:cs="宋体"/>
          <w:b w:val="0"/>
          <w:bCs w:val="0"/>
          <w:i w:val="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spacing w:val="0"/>
          <w:sz w:val="24"/>
          <w:szCs w:val="24"/>
          <w:lang w:val="en-US" w:eastAsia="zh-CN"/>
        </w:rPr>
        <w:t>3.2.4电缆井尺寸及个数：</w:t>
      </w:r>
      <w:r>
        <w:rPr>
          <w:rFonts w:hint="eastAsia" w:ascii="宋体" w:hAnsi="宋体" w:eastAsia="宋体" w:cs="宋体"/>
          <w:b w:val="0"/>
          <w:bCs w:val="0"/>
          <w:i w:val="0"/>
          <w:spacing w:val="0"/>
          <w:sz w:val="24"/>
          <w:szCs w:val="24"/>
          <w:lang w:val="en-US" w:eastAsia="zh-CN"/>
        </w:rPr>
        <w:t>中间接头井长2.5米*宽1.5米*深1.8米、检修井每隔50-100米设置一个。</w:t>
      </w:r>
    </w:p>
    <w:p w14:paraId="65F27DAB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四、长距离敷设特殊工艺要求</w:t>
      </w:r>
    </w:p>
    <w:p w14:paraId="59CDC860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4.1 牵引力控制</w:t>
      </w:r>
    </w:p>
    <w:p w14:paraId="460E9D9F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最大牵引力计算：</w:t>
      </w:r>
    </w:p>
    <w:p w14:paraId="2A28800A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铝芯电缆允许牵引强度为40N/mm²</w:t>
      </w:r>
    </w:p>
    <w:p w14:paraId="6AC6ED46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m:oMath>
        <m:sSub>
          <m:sSubPr>
            <m:ctrlPr>
              <w:rPr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sz w:val="24"/>
                <w:szCs w:val="24"/>
              </w:rPr>
              <m:t>F</m:t>
            </m:r>
            <m:ctrlPr>
              <w:rPr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/>
                <w:sz w:val="24"/>
                <w:szCs w:val="24"/>
              </w:rPr>
              <m:t>max</m:t>
            </m:r>
            <m:ctrlPr>
              <w:rPr>
                <w:sz w:val="24"/>
                <w:szCs w:val="24"/>
              </w:rPr>
            </m:ctrlPr>
          </m:sub>
        </m:sSub>
        <m:r>
          <m:rPr/>
          <w:rPr>
            <w:rFonts w:ascii="Cambria Math" w:hAnsi="Cambria Math"/>
            <w:sz w:val="24"/>
            <w:szCs w:val="24"/>
          </w:rPr>
          <m:t>=40×3×300=36000N</m:t>
        </m:r>
        <m:d>
          <m:dPr>
            <m:sepChr m:val=","/>
            <m:ctrlPr>
              <w:rPr>
                <w:sz w:val="24"/>
                <w:szCs w:val="24"/>
              </w:rPr>
            </m:ctrlPr>
          </m:dPr>
          <m:e>
            <m:r>
              <m:rPr/>
              <w:rPr>
                <w:rFonts w:ascii="Cambria Math" w:hAnsi="Cambria Math"/>
                <w:sz w:val="24"/>
                <w:szCs w:val="24"/>
              </w:rPr>
              <m:t>约3.6吨</m:t>
            </m:r>
            <m:ctrlPr>
              <w:rPr>
                <w:sz w:val="24"/>
                <w:szCs w:val="24"/>
              </w:rPr>
            </m:ctrlPr>
          </m:e>
        </m:d>
      </m:oMath>
    </w:p>
    <w:p w14:paraId="6053BCD0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施工要求：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必须使用履带式电缆敷设机，严禁直接使用卷扬机硬拉。</w:t>
      </w:r>
    </w:p>
    <w:p w14:paraId="0732D2FE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4.2 蛇形敷设</w:t>
      </w:r>
    </w:p>
    <w:p w14:paraId="14629DED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在电缆终端头及中间接头附近（各约5-10米范围），电缆应预留蛇形弯，以吸收热胀冷缩产生的机械应力。</w:t>
      </w:r>
    </w:p>
    <w:p w14:paraId="6B242F79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4.3 接地方式</w:t>
      </w:r>
    </w:p>
    <w:p w14:paraId="64C26C58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由于采用三芯电缆，两端直接接地即可满足要求。</w:t>
      </w:r>
    </w:p>
    <w:p w14:paraId="335B6D31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五、施工技术与质量控制要求</w:t>
      </w:r>
    </w:p>
    <w:p w14:paraId="443835AD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5.1 施工前期准备</w:t>
      </w:r>
    </w:p>
    <w:p w14:paraId="57DABF44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现场勘测：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精准复核敷设路径</w:t>
      </w:r>
    </w:p>
    <w:p w14:paraId="1F9EC043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材料验收：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电缆进场后做绝缘电阻测试、工频耐压试验</w:t>
      </w:r>
    </w:p>
    <w:p w14:paraId="623B49FB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技术交底：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对施工人员进行高压作业专项技术交底</w:t>
      </w:r>
    </w:p>
    <w:p w14:paraId="52A6EDE2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安全筹备：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配备高压绝缘工具，办理高压作业许可</w:t>
      </w:r>
    </w:p>
    <w:p w14:paraId="1361A93D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5.2 电缆敷设施工要点</w:t>
      </w:r>
    </w:p>
    <w:p w14:paraId="4FC0CE97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敷设方式：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机械牵引+人工辅助，牵引力≤36kN，牵引速度≤2m/min</w:t>
      </w:r>
    </w:p>
    <w:p w14:paraId="055325C7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外观监控：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杜绝铠装变形、绝缘划伤、扭曲打结</w:t>
      </w:r>
    </w:p>
    <w:p w14:paraId="4123D6CF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电缆预留：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终端头预留3米，接头井处预留2米</w:t>
      </w:r>
    </w:p>
    <w:p w14:paraId="6356C3F0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5.3 终端头与接地安装</w:t>
      </w:r>
    </w:p>
    <w:p w14:paraId="4A63D32E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安装要求：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由专业高压电工安装，严格按照冷缩附件工艺施工</w:t>
      </w:r>
    </w:p>
    <w:p w14:paraId="08C2F609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接地装置：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焊接牢固，防腐处理到位，接地电阻测试合格</w:t>
      </w:r>
    </w:p>
    <w:p w14:paraId="4F6A6CBC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连接要求：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终端头与高压开关柜连接紧密，相位匹配</w:t>
      </w:r>
    </w:p>
    <w:p w14:paraId="22973263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六、工程验收标准</w:t>
      </w:r>
    </w:p>
    <w:p w14:paraId="271853F5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6.1 外观验收</w:t>
      </w:r>
    </w:p>
    <w:p w14:paraId="52C69E8A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电缆敷设平直，无损伤、变形</w:t>
      </w:r>
    </w:p>
    <w:p w14:paraId="122B52DB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标识桩、保护板安装规范，位置准确</w:t>
      </w:r>
    </w:p>
    <w:p w14:paraId="7C236231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终端头、接头安装牢固，密封良好</w:t>
      </w:r>
    </w:p>
    <w:p w14:paraId="0393FBCF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6.2 性能试验验收</w:t>
      </w:r>
    </w:p>
    <w:p w14:paraId="6C704F41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绝缘电阻测试：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电缆相间、对地绝缘电阻≥1000MΩ</w:t>
      </w:r>
    </w:p>
    <w:p w14:paraId="5D395B76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工频耐压试验：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施加30.5kV工频电压，持续5分钟</w:t>
      </w:r>
    </w:p>
    <w:p w14:paraId="368B107C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电压降测试：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满载运行时，末端电压降≤4%</w:t>
      </w:r>
    </w:p>
    <w:p w14:paraId="337E38E8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4.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接地电阻测试：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保护接地电阻≤4Ω</w:t>
      </w:r>
    </w:p>
    <w:p w14:paraId="06DD1802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rFonts w:ascii="宋体" w:hAnsi="宋体" w:eastAsia="宋体" w:cs="宋体"/>
          <w:b w:val="0"/>
          <w:i w:val="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5.</w:t>
      </w: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相位核对：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电缆相位与系统相位完全一致</w:t>
      </w:r>
    </w:p>
    <w:p w14:paraId="4E55329F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rFonts w:hint="default" w:ascii="宋体" w:hAnsi="宋体" w:eastAsia="宋体" w:cs="宋体"/>
          <w:b/>
          <w:bCs/>
          <w:i w:val="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 w:cs="宋体"/>
          <w:b/>
          <w:bCs/>
          <w:i w:val="0"/>
          <w:spacing w:val="0"/>
          <w:sz w:val="24"/>
          <w:szCs w:val="24"/>
          <w:lang w:val="en-US" w:eastAsia="zh-CN"/>
        </w:rPr>
        <w:t>开关保护定值及交接试验</w:t>
      </w:r>
    </w:p>
    <w:p w14:paraId="5BD453DB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6.3 资料验收</w:t>
      </w:r>
    </w:p>
    <w:p w14:paraId="20B3C73B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竣工后提交完整工程资料，包括：电缆敷设竣工图、电缆及附件合格证、试验记录、施工日志等。</w:t>
      </w:r>
    </w:p>
    <w:p w14:paraId="7911015A">
      <w:pPr>
        <w:pageBreakBefore w:val="0"/>
        <w:wordWrap/>
        <w:spacing w:before="160" w:after="0"/>
        <w:ind w:left="0" w:right="0"/>
        <w:jc w:val="left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七、</w:t>
      </w:r>
      <w:r>
        <w:rPr>
          <w:rFonts w:hint="eastAsia" w:ascii="宋体" w:hAnsi="宋体" w:eastAsia="宋体" w:cs="宋体"/>
          <w:b/>
          <w:i w:val="0"/>
          <w:spacing w:val="0"/>
          <w:sz w:val="24"/>
          <w:szCs w:val="24"/>
          <w:lang w:val="en-US" w:eastAsia="zh-CN"/>
        </w:rPr>
        <w:t>施工安全</w:t>
      </w:r>
    </w:p>
    <w:p w14:paraId="542B75E2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7.1 施工安全管理</w:t>
      </w:r>
    </w:p>
    <w:p w14:paraId="747704F8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严格执行高压作业安全规范，施工人员持证上岗</w:t>
      </w:r>
    </w:p>
    <w:p w14:paraId="30F968F1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施工区域设置高压警示标识、安全围挡</w:t>
      </w:r>
    </w:p>
    <w:p w14:paraId="5FBB3FFB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开挖作业做好边坡防护，地下管网段采用人工开挖</w:t>
      </w:r>
    </w:p>
    <w:p w14:paraId="7880557D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4.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高压试验由专业人员操作，设置安全警戒区</w:t>
      </w:r>
    </w:p>
    <w:p w14:paraId="0BB878DB">
      <w:pPr>
        <w:pageBreakBefore w:val="0"/>
        <w:wordWrap/>
        <w:spacing w:before="160" w:after="0"/>
        <w:ind w:left="0" w:right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八、附则</w:t>
      </w:r>
    </w:p>
    <w:p w14:paraId="2404087A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本规格书未尽事宜，严格按照现行国家高压电力工程规范执行</w:t>
      </w:r>
    </w:p>
    <w:p w14:paraId="6F5453B7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施工过程中如需设计变更，需经四方确认后方可实施</w:t>
      </w:r>
    </w:p>
    <w:p w14:paraId="4FEEDC07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rFonts w:ascii="宋体" w:hAnsi="宋体" w:eastAsia="宋体" w:cs="宋体"/>
          <w:b w:val="0"/>
          <w:i w:val="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本规格书自工程开工之日起生效，工程竣工验收合格后终止</w:t>
      </w:r>
    </w:p>
    <w:p w14:paraId="16FDD910">
      <w:pPr>
        <w:pageBreakBefore w:val="0"/>
        <w:numPr>
          <w:ilvl w:val="0"/>
          <w:numId w:val="0"/>
        </w:numPr>
        <w:wordWrap/>
        <w:spacing w:before="160" w:after="0"/>
        <w:ind w:leftChars="0" w:right="0" w:rightChars="0"/>
        <w:jc w:val="left"/>
        <w:textAlignment w:val="auto"/>
        <w:rPr>
          <w:rFonts w:hint="default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4.施工路径及方案都由总包方沟通协调（同供电局、城管局、城建局、天然气公司、供排水公司、开发区、四川中科智能科技有限公司、丹工投等外线沟通协调事宜）。</w:t>
      </w:r>
    </w:p>
    <w:p w14:paraId="72633D7A">
      <w:pPr>
        <w:pageBreakBefore w:val="0"/>
        <w:wordWrap/>
        <w:spacing w:before="160" w:after="0"/>
        <w:ind w:left="0" w:right="0"/>
        <w:jc w:val="left"/>
        <w:textAlignment w:val="auto"/>
        <w:rPr>
          <w:rFonts w:ascii="宋体" w:hAnsi="宋体" w:eastAsia="宋体" w:cs="宋体"/>
          <w:b w:val="0"/>
          <w:i w:val="0"/>
          <w:spacing w:val="0"/>
          <w:sz w:val="24"/>
          <w:szCs w:val="24"/>
        </w:rPr>
      </w:pPr>
      <w:r>
        <w:rPr>
          <w:rFonts w:ascii="宋体" w:hAnsi="宋体" w:eastAsia="宋体" w:cs="宋体"/>
          <w:b/>
          <w:i w:val="0"/>
          <w:spacing w:val="0"/>
          <w:sz w:val="24"/>
          <w:szCs w:val="24"/>
        </w:rPr>
        <w:t>编制说明：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 xml:space="preserve"> 本设计规格书基于5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444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kVA容量，采用铝芯电缆，经精确电压降核算后确定选用YJLV22-8.7/1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5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kV 3×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24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0mm²电缆，确保工程安全可靠运行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若电缆规格型号不能满足需求以设计为准</w:t>
      </w:r>
      <w:r>
        <w:rPr>
          <w:rFonts w:ascii="宋体" w:hAnsi="宋体" w:eastAsia="宋体" w:cs="宋体"/>
          <w:b w:val="0"/>
          <w:i w:val="0"/>
          <w:spacing w:val="0"/>
          <w:sz w:val="24"/>
          <w:szCs w:val="24"/>
        </w:rPr>
        <w:t>。</w:t>
      </w:r>
    </w:p>
    <w:p w14:paraId="138C40FD">
      <w:pPr>
        <w:pageBreakBefore w:val="0"/>
        <w:wordWrap/>
        <w:spacing w:before="160" w:after="0"/>
        <w:ind w:left="0" w:right="0"/>
        <w:jc w:val="left"/>
        <w:textAlignment w:val="auto"/>
        <w:rPr>
          <w:rFonts w:hint="default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val="en-US" w:eastAsia="zh-CN"/>
        </w:rPr>
        <w:t>路线示意图：眉山琏升光伏科技有限公司电池厂110kV变电站-欣欣大道-四川中科智能科技有限公司-丹棱工业智慧园区-眉山琏升光伏科技有限公司组建厂10kV配电室</w:t>
      </w:r>
    </w:p>
    <w:p w14:paraId="7115BA37">
      <w:pPr>
        <w:pageBreakBefore w:val="0"/>
        <w:wordWrap/>
        <w:spacing w:before="160" w:after="0"/>
        <w:ind w:left="0" w:right="0"/>
        <w:jc w:val="left"/>
        <w:textAlignment w:val="auto"/>
        <w:rPr>
          <w:rFonts w:ascii="宋体" w:hAnsi="宋体" w:eastAsia="宋体" w:cs="宋体"/>
          <w:b w:val="0"/>
          <w:i w:val="0"/>
          <w:spacing w:val="0"/>
          <w:sz w:val="24"/>
          <w:szCs w:val="24"/>
        </w:rPr>
      </w:pPr>
    </w:p>
    <w:p w14:paraId="7F75A46D">
      <w:pPr>
        <w:pageBreakBefore w:val="0"/>
        <w:wordWrap/>
        <w:spacing w:before="160" w:after="0"/>
        <w:ind w:left="0" w:right="0"/>
        <w:jc w:val="left"/>
        <w:textAlignment w:val="auto"/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i w:val="0"/>
          <w:spacing w:val="0"/>
          <w:sz w:val="24"/>
          <w:szCs w:val="24"/>
          <w:lang w:eastAsia="zh-CN"/>
        </w:rPr>
        <w:drawing>
          <wp:inline distT="0" distB="0" distL="114300" distR="114300">
            <wp:extent cx="5268595" cy="3741420"/>
            <wp:effectExtent l="0" t="0" r="1905" b="5080"/>
            <wp:docPr id="2" name="图片 2" descr="177883387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788338725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ACD49">
      <w:pPr>
        <w:pageBreakBefore w:val="0"/>
        <w:wordWrap/>
        <w:spacing w:before="160" w:after="0"/>
        <w:ind w:left="0" w:right="0"/>
        <w:jc w:val="left"/>
        <w:textAlignment w:val="auto"/>
        <w:rPr>
          <w:rFonts w:hint="eastAsia" w:eastAsia="宋体"/>
          <w:sz w:val="24"/>
          <w:lang w:eastAsia="zh-CN"/>
        </w:rPr>
      </w:pPr>
    </w:p>
    <w:sectPr>
      <w:headerReference r:id="rId3" w:type="default"/>
      <w:footerReference r:id="rId4" w:type="default"/>
      <w:pgSz w:w="11900" w:h="15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960AF2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973F5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decimal"/>
      <w:lvlText w:val="%1.%2."/>
      <w:lvlJc w:val="left"/>
      <w:pPr>
        <w:ind w:left="1100" w:hanging="660"/>
      </w:pPr>
    </w:lvl>
    <w:lvl w:ilvl="2" w:tentative="0">
      <w:start w:val="1"/>
      <w:numFmt w:val="decimal"/>
      <w:lvlRestart w:val="1"/>
      <w:lvlText w:val="%1.%2.%3."/>
      <w:lvlJc w:val="left"/>
      <w:pPr>
        <w:ind w:left="1760" w:hanging="880"/>
      </w:pPr>
    </w:lvl>
    <w:lvl w:ilvl="3" w:tentative="0">
      <w:start w:val="1"/>
      <w:numFmt w:val="decimal"/>
      <w:lvlRestart w:val="1"/>
      <w:lvlText w:val="%1.%2.%3.%4."/>
      <w:lvlJc w:val="left"/>
      <w:pPr>
        <w:ind w:left="2420" w:hanging="1100"/>
      </w:pPr>
    </w:lvl>
    <w:lvl w:ilvl="4" w:tentative="0">
      <w:start w:val="1"/>
      <w:numFmt w:val="decimal"/>
      <w:lvlRestart w:val="1"/>
      <w:lvlText w:val="%1.%2.%3.%4.%5."/>
      <w:lvlJc w:val="left"/>
      <w:pPr>
        <w:ind w:left="3080" w:hanging="1320"/>
      </w:pPr>
    </w:lvl>
    <w:lvl w:ilvl="5" w:tentative="0">
      <w:start w:val="1"/>
      <w:numFmt w:val="decimal"/>
      <w:lvlRestart w:val="1"/>
      <w:lvlText w:val="%1.%2.%3.%4.%5.%6."/>
      <w:lvlJc w:val="left"/>
      <w:pPr>
        <w:ind w:left="3740" w:hanging="1540"/>
      </w:pPr>
    </w:lvl>
    <w:lvl w:ilvl="6" w:tentative="0">
      <w:start w:val="1"/>
      <w:numFmt w:val="decimal"/>
      <w:lvlRestart w:val="1"/>
      <w:lvlText w:val="%1.%2.%3.%4.%5.%6.%7."/>
      <w:lvlJc w:val="left"/>
      <w:pPr>
        <w:ind w:left="4400" w:hanging="1760"/>
      </w:pPr>
    </w:lvl>
    <w:lvl w:ilvl="7" w:tentative="0">
      <w:start w:val="1"/>
      <w:numFmt w:val="decimal"/>
      <w:lvlRestart w:val="1"/>
      <w:lvlText w:val="%1.%2.%3.%4.%5.%6.%7.%8."/>
      <w:lvlJc w:val="left"/>
      <w:pPr>
        <w:ind w:left="5060" w:hanging="1980"/>
      </w:pPr>
    </w:lvl>
    <w:lvl w:ilvl="8" w:tentative="0">
      <w:start w:val="1"/>
      <w:numFmt w:val="decimal"/>
      <w:lvlRestart w:val="1"/>
      <w:lvlText w:val="%1.%2.%3.%4.%5.%6.%7.%8.%9."/>
      <w:lvlJc w:val="left"/>
      <w:pPr>
        <w:ind w:left="5720" w:hanging="2200"/>
      </w:pPr>
    </w:lvl>
  </w:abstractNum>
  <w:abstractNum w:abstractNumId="1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decimal"/>
      <w:lvlText w:val="%1.%2."/>
      <w:lvlJc w:val="left"/>
      <w:pPr>
        <w:ind w:left="1100" w:hanging="660"/>
      </w:pPr>
    </w:lvl>
    <w:lvl w:ilvl="2" w:tentative="0">
      <w:start w:val="1"/>
      <w:numFmt w:val="decimal"/>
      <w:lvlRestart w:val="1"/>
      <w:lvlText w:val="%1.%2.%3."/>
      <w:lvlJc w:val="left"/>
      <w:pPr>
        <w:ind w:left="1760" w:hanging="880"/>
      </w:pPr>
    </w:lvl>
    <w:lvl w:ilvl="3" w:tentative="0">
      <w:start w:val="1"/>
      <w:numFmt w:val="decimal"/>
      <w:lvlRestart w:val="1"/>
      <w:lvlText w:val="%1.%2.%3.%4."/>
      <w:lvlJc w:val="left"/>
      <w:pPr>
        <w:ind w:left="2420" w:hanging="1100"/>
      </w:pPr>
    </w:lvl>
    <w:lvl w:ilvl="4" w:tentative="0">
      <w:start w:val="1"/>
      <w:numFmt w:val="decimal"/>
      <w:lvlRestart w:val="1"/>
      <w:lvlText w:val="%1.%2.%3.%4.%5."/>
      <w:lvlJc w:val="left"/>
      <w:pPr>
        <w:ind w:left="3080" w:hanging="1320"/>
      </w:pPr>
    </w:lvl>
    <w:lvl w:ilvl="5" w:tentative="0">
      <w:start w:val="1"/>
      <w:numFmt w:val="decimal"/>
      <w:lvlRestart w:val="1"/>
      <w:lvlText w:val="%1.%2.%3.%4.%5.%6."/>
      <w:lvlJc w:val="left"/>
      <w:pPr>
        <w:ind w:left="3740" w:hanging="1540"/>
      </w:pPr>
    </w:lvl>
    <w:lvl w:ilvl="6" w:tentative="0">
      <w:start w:val="1"/>
      <w:numFmt w:val="decimal"/>
      <w:lvlRestart w:val="1"/>
      <w:lvlText w:val="%1.%2.%3.%4.%5.%6.%7."/>
      <w:lvlJc w:val="left"/>
      <w:pPr>
        <w:ind w:left="4400" w:hanging="1760"/>
      </w:pPr>
    </w:lvl>
    <w:lvl w:ilvl="7" w:tentative="0">
      <w:start w:val="1"/>
      <w:numFmt w:val="decimal"/>
      <w:lvlRestart w:val="1"/>
      <w:lvlText w:val="%1.%2.%3.%4.%5.%6.%7.%8."/>
      <w:lvlJc w:val="left"/>
      <w:pPr>
        <w:ind w:left="5060" w:hanging="1980"/>
      </w:pPr>
    </w:lvl>
    <w:lvl w:ilvl="8" w:tentative="0">
      <w:start w:val="1"/>
      <w:numFmt w:val="decimal"/>
      <w:lvlRestart w:val="1"/>
      <w:lvlText w:val="%1.%2.%3.%4.%5.%6.%7.%8.%9."/>
      <w:lvlJc w:val="left"/>
      <w:pPr>
        <w:ind w:left="5720" w:hanging="22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compat>
    <w:ulTrailSpace/>
    <w:useFELayout/>
    <w:compatSetting w:name="compatibilityMode" w:uri="http://schemas.microsoft.com/office/word" w:val="15"/>
  </w:compat>
  <w:rsids>
    <w:rsidRoot w:val="00000000"/>
    <w:rsid w:val="069B7F87"/>
    <w:rsid w:val="06B220D8"/>
    <w:rsid w:val="19197809"/>
    <w:rsid w:val="2E68733B"/>
    <w:rsid w:val="352D0F5B"/>
    <w:rsid w:val="358F34DC"/>
    <w:rsid w:val="3F5A7CC2"/>
    <w:rsid w:val="41C233CA"/>
    <w:rsid w:val="426A42EA"/>
    <w:rsid w:val="478019E0"/>
    <w:rsid w:val="4CAC3F8F"/>
    <w:rsid w:val="4D16138E"/>
    <w:rsid w:val="566E7C2A"/>
    <w:rsid w:val="58434B03"/>
    <w:rsid w:val="69846B82"/>
    <w:rsid w:val="7AB96E8A"/>
    <w:rsid w:val="7EAB72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1904</Words>
  <Characters>2291</Characters>
  <TotalTime>12</TotalTime>
  <ScaleCrop>false</ScaleCrop>
  <LinksUpToDate>false</LinksUpToDate>
  <CharactersWithSpaces>2351</CharactersWithSpaces>
  <Application>WPS Office_12.1.0.26375_F1E327BC-269C-435d-A152-05C5408002CA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2026-05-08T02:36:00Z</dcterms:created>
  <dc:creator>Apache POI</dc:creator>
  <cp:lastModifiedBy>心印</cp:lastModifiedBy>
  <dcterms:modified xsi:type="dcterms:W3CDTF">2026-05-18T03:47:15Z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GC">
    <vt:lpwstr>{"ContentPropagator":"001191440101MA9Y9T4H7A00000","Label":"1","ReservedCode1":"YzklF6jvCjDF3VhY17NV90FynD4wxAPJjOlHxPQ5BcA=","ProduceID":"doc_sgs:04fe504f-e431-4b54-b13b-e62e98d7aa7c","ReservedCode2":"YzklF6jvCjDF3VhY17NV90FynD4wxAPJjOlHxPQ5BcA=","PropagateID":"doc_sgs:04fe504f-e431-4b54-b13b-e62e98d7aa7c","ContentProducer":"001191440101MA9Y9T4H7A00000"}</vt:lpwstr>
  </property>
  <property fmtid="{D5CDD505-2E9C-101B-9397-08002B2CF9AE}" pid="3" name="KSOTemplateDocerSaveRecord">
    <vt:lpwstr>eyJoZGlkIjoiNjEwMmIxMDVhNzE2ZDAxZmViZjFhOGExMGViNmZkZWUiLCJ1c2VySWQiOiI2MDYwNzY5ODEifQ==</vt:lpwstr>
  </property>
  <property fmtid="{D5CDD505-2E9C-101B-9397-08002B2CF9AE}" pid="4" name="KSOProductBuildVer">
    <vt:lpwstr>2052-12.1.0.26375</vt:lpwstr>
  </property>
  <property fmtid="{D5CDD505-2E9C-101B-9397-08002B2CF9AE}" pid="5" name="ICV">
    <vt:lpwstr>6BC4F4CD45214DF0ABCBFD2EB45DDD4F_13</vt:lpwstr>
  </property>
</Properties>
</file>